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31" w:lineRule="exact" w:before="0"/>
        <w:ind w:left="443" w:right="0" w:firstLine="0"/>
        <w:jc w:val="left"/>
        <w:rPr>
          <w:rFonts w:ascii="Conduit ITC Pro" w:hAnsi="Conduit ITC Pro"/>
          <w:b/>
          <w:sz w:val="48"/>
        </w:rPr>
      </w:pPr>
      <w:r>
        <w:rPr>
          <w:rFonts w:ascii="Conduit ITC Pro" w:hAnsi="Conduit ITC Pro"/>
          <w:b/>
          <w:color w:val="231F20"/>
          <w:sz w:val="48"/>
        </w:rPr>
        <w:t>Arbejdsark 1.5. De fem søjler – elektronisk dokument</w:t>
      </w:r>
    </w:p>
    <w:p>
      <w:pPr>
        <w:pStyle w:val="BodyText"/>
        <w:spacing w:before="289"/>
        <w:ind w:left="110"/>
      </w:pPr>
      <w:r>
        <w:rPr>
          <w:rFonts w:ascii="ITC Garamond" w:hAnsi="ITC Garamond"/>
          <w:b/>
          <w:color w:val="231F20"/>
        </w:rPr>
        <w:t>Formål: </w:t>
      </w:r>
      <w:r>
        <w:rPr>
          <w:color w:val="231F20"/>
        </w:rPr>
        <w:t>Arket kan anvendes til elektronisk at formulere aftaler for udvikling af de fem søjler.</w:t>
      </w:r>
    </w:p>
    <w:p>
      <w:pPr>
        <w:pStyle w:val="BodyText"/>
        <w:rPr>
          <w:sz w:val="22"/>
        </w:rPr>
      </w:pPr>
    </w:p>
    <w:p>
      <w:pPr>
        <w:pStyle w:val="BodyText"/>
        <w:spacing w:line="333" w:lineRule="auto" w:before="139"/>
        <w:ind w:left="110"/>
      </w:pPr>
      <w:r>
        <w:rPr>
          <w:rFonts w:ascii="ITC Garamond" w:hAnsi="ITC Garamond"/>
          <w:b/>
          <w:color w:val="231F20"/>
        </w:rPr>
        <w:t>Fremgangsmåde: </w:t>
      </w:r>
      <w:r>
        <w:rPr>
          <w:color w:val="231F20"/>
        </w:rPr>
        <w:t>Dokumentet kan downloades fra bogens hjemmeside og kan anvendes til elektronisk dokument til at formulere mål og handlinger for udvikling af de fem søjler.</w:t>
      </w:r>
    </w:p>
    <w:p>
      <w:pPr>
        <w:pStyle w:val="BodyText"/>
        <w:spacing w:before="5" w:after="1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2546"/>
        <w:gridCol w:w="2546"/>
        <w:gridCol w:w="2546"/>
      </w:tblGrid>
      <w:tr>
        <w:trPr>
          <w:trHeight w:val="770" w:hRule="atLeast"/>
        </w:trPr>
        <w:tc>
          <w:tcPr>
            <w:tcW w:w="254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  <w:shd w:val="clear" w:color="auto" w:fill="E6E7E8"/>
          </w:tcPr>
          <w:p>
            <w:pPr>
              <w:pStyle w:val="TableParagraph"/>
              <w:spacing w:line="251" w:lineRule="exact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Hvad</w:t>
            </w:r>
          </w:p>
          <w:p>
            <w:pPr>
              <w:pStyle w:val="TableParagraph"/>
              <w:spacing w:line="213" w:lineRule="auto" w:before="9"/>
              <w:ind w:left="79" w:right="4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Disse mål vil vi arbejde </w:t>
            </w:r>
            <w:r>
              <w:rPr>
                <w:b/>
                <w:color w:val="231F20"/>
                <w:spacing w:val="-6"/>
                <w:sz w:val="20"/>
              </w:rPr>
              <w:t>hen </w:t>
            </w:r>
            <w:r>
              <w:rPr>
                <w:b/>
                <w:color w:val="231F20"/>
                <w:sz w:val="20"/>
              </w:rPr>
              <w:t>imod</w:t>
            </w:r>
          </w:p>
        </w:tc>
        <w:tc>
          <w:tcPr>
            <w:tcW w:w="2546" w:type="dxa"/>
            <w:shd w:val="clear" w:color="auto" w:fill="E6E7E8"/>
          </w:tcPr>
          <w:p>
            <w:pPr>
              <w:pStyle w:val="TableParagraph"/>
              <w:spacing w:line="251" w:lineRule="exact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Hvordan</w:t>
            </w:r>
          </w:p>
          <w:p>
            <w:pPr>
              <w:pStyle w:val="TableParagraph"/>
              <w:spacing w:line="254" w:lineRule="exact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Sådan vil vi gøre for at nå målet</w:t>
            </w:r>
          </w:p>
        </w:tc>
        <w:tc>
          <w:tcPr>
            <w:tcW w:w="2546" w:type="dxa"/>
            <w:shd w:val="clear" w:color="auto" w:fill="E6E7E8"/>
          </w:tcPr>
          <w:p>
            <w:pPr>
              <w:pStyle w:val="TableParagraph"/>
              <w:spacing w:line="251" w:lineRule="exact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Hvornår</w:t>
            </w:r>
          </w:p>
          <w:p>
            <w:pPr>
              <w:pStyle w:val="TableParagraph"/>
              <w:spacing w:line="254" w:lineRule="exact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Her vil vi gøre det</w:t>
            </w:r>
          </w:p>
        </w:tc>
      </w:tr>
      <w:tr>
        <w:trPr>
          <w:trHeight w:val="2257" w:hRule="atLeast"/>
        </w:trPr>
        <w:tc>
          <w:tcPr>
            <w:tcW w:w="2546" w:type="dxa"/>
            <w:shd w:val="clear" w:color="auto" w:fill="E6E7E8"/>
          </w:tcPr>
          <w:p>
            <w:pPr>
              <w:pStyle w:val="TableParagraph"/>
              <w:spacing w:before="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1. Fælles værdier og visioner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57" w:hRule="atLeast"/>
        </w:trPr>
        <w:tc>
          <w:tcPr>
            <w:tcW w:w="2546" w:type="dxa"/>
            <w:shd w:val="clear" w:color="auto" w:fill="E6E7E8"/>
          </w:tcPr>
          <w:p>
            <w:pPr>
              <w:pStyle w:val="TableParagraph"/>
              <w:spacing w:before="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2. Deprivatisering af praksis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57" w:hRule="atLeast"/>
        </w:trPr>
        <w:tc>
          <w:tcPr>
            <w:tcW w:w="2546" w:type="dxa"/>
            <w:shd w:val="clear" w:color="auto" w:fill="E6E7E8"/>
          </w:tcPr>
          <w:p>
            <w:pPr>
              <w:pStyle w:val="TableParagraph"/>
              <w:spacing w:before="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3. Samarbejde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57" w:hRule="atLeast"/>
        </w:trPr>
        <w:tc>
          <w:tcPr>
            <w:tcW w:w="2546" w:type="dxa"/>
            <w:shd w:val="clear" w:color="auto" w:fill="E6E7E8"/>
          </w:tcPr>
          <w:p>
            <w:pPr>
              <w:pStyle w:val="TableParagraph"/>
              <w:spacing w:before="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4. Reflekterende dialoger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57" w:hRule="atLeast"/>
        </w:trPr>
        <w:tc>
          <w:tcPr>
            <w:tcW w:w="2546" w:type="dxa"/>
            <w:shd w:val="clear" w:color="auto" w:fill="E6E7E8"/>
          </w:tcPr>
          <w:p>
            <w:pPr>
              <w:pStyle w:val="TableParagraph"/>
              <w:spacing w:line="218" w:lineRule="auto" w:before="2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5. Fokus på elevernes læring og trivsel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3218" w:right="3218" w:firstLine="0"/>
        <w:jc w:val="center"/>
        <w:rPr>
          <w:rFonts w:ascii="Garamond-LightItalic" w:hAnsi="Garamond-LightItalic"/>
          <w:i/>
          <w:sz w:val="20"/>
        </w:rPr>
      </w:pPr>
      <w:r>
        <w:rPr>
          <w:rFonts w:ascii="Garamond-LightItalic" w:hAnsi="Garamond-LightItalic"/>
          <w:i/>
          <w:color w:val="231F20"/>
          <w:sz w:val="20"/>
        </w:rPr>
        <w:t>Nye vej mod professionelle læringsfællesskaber</w:t>
      </w:r>
    </w:p>
    <w:p>
      <w:pPr>
        <w:pStyle w:val="BodyText"/>
        <w:spacing w:before="80"/>
        <w:ind w:left="3218" w:right="3218"/>
        <w:jc w:val="center"/>
      </w:pPr>
      <w:r>
        <w:rPr>
          <w:color w:val="231F20"/>
        </w:rPr>
        <w:t>© Dafolo, 2019</w:t>
      </w:r>
    </w:p>
    <w:sectPr>
      <w:type w:val="continuous"/>
      <w:pgSz w:w="11910" w:h="16840"/>
      <w:pgMar w:top="6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-Light">
    <w:altName w:val="Garamond-Light"/>
    <w:charset w:val="0"/>
    <w:family w:val="roman"/>
    <w:pitch w:val="variable"/>
  </w:font>
  <w:font w:name="Conduit ITC Pro">
    <w:altName w:val="Conduit ITC Pro"/>
    <w:charset w:val="0"/>
    <w:family w:val="roman"/>
    <w:pitch w:val="variable"/>
  </w:font>
  <w:font w:name="ITC Garamond">
    <w:altName w:val="ITC Garamond"/>
    <w:charset w:val="0"/>
    <w:family w:val="roman"/>
    <w:pitch w:val="variable"/>
  </w:font>
  <w:font w:name="Garamond-LightItalic">
    <w:altName w:val="Garamond-LightItali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-Light" w:hAnsi="Garamond-Light" w:eastAsia="Garamond-Light" w:cs="Garamond-Light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Garamond-Light" w:hAnsi="Garamond-Light" w:eastAsia="Garamond-Light" w:cs="Garamond-Light"/>
      <w:sz w:val="20"/>
      <w:szCs w:val="20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Conduit ITC Pro" w:hAnsi="Conduit ITC Pro" w:eastAsia="Conduit ITC Pro" w:cs="Conduit ITC Pro"/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2018-11-20T08:59:36Z</dcterms:created>
  <dcterms:modified xsi:type="dcterms:W3CDTF">2018-11-20T08:59:36Z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2018-11-20T00:00:00Z</vt:filetime>
  </property>
</Properties>
</file>